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
      </w:pPr>
    </w:p>
    <w:p>
      <w:pPr>
        <w:spacing w:after="6"/>
      </w:pPr>
    </w:p>
    <w:p>
      <w:pPr>
        <w:spacing w:after="6"/>
      </w:pPr>
    </w:p>
    <w:p>
      <w:pPr>
        <w:spacing w:after="6"/>
      </w:pPr>
    </w:p>
    <w:p>
      <w:pPr>
        <w:spacing w:after="6"/>
      </w:pPr>
    </w:p>
    <w:p>
      <w:pPr>
        <w:spacing w:after="6"/>
      </w:pPr>
    </w:p>
    <w:p>
      <w:pPr>
        <w:spacing w:after="6"/>
      </w:pPr>
    </w:p>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B4F72" w:val="clear"/>
            <w:tcMar>
              <w:top w:type="dxa" w:w="400"/>
              <w:left w:type="dxa" w:w="400"/>
              <w:bottom w:type="dxa" w:w="400"/>
              <w:right w:type="dxa" w:w="400"/>
            </w:tcMar>
          </w:tcPr>
          <w:p>
            <w:pPr>
              <w:spacing w:after="200"/>
              <w:jc w:val="center"/>
            </w:pPr>
            <w:r>
              <w:rPr>
                <w:rFonts w:ascii="Arial" w:cs="Arial" w:eastAsia="Arial" w:hAnsi="Arial"/>
                <w:b/>
                <w:bCs/>
                <w:color w:val="85C1E9"/>
                <w:sz w:val="24"/>
                <w:szCs w:val="24"/>
              </w:rPr>
              <w:t xml:space="preserve">INFORMATIEDOSSIER</w:t>
            </w:r>
          </w:p>
          <w:p>
            <w:pPr>
              <w:spacing w:after="200"/>
              <w:jc w:val="center"/>
            </w:pPr>
            <w:r>
              <w:rPr>
                <w:rFonts w:ascii="Arial" w:cs="Arial" w:eastAsia="Arial" w:hAnsi="Arial"/>
                <w:b/>
                <w:bCs/>
                <w:color w:val="FFFFFF"/>
                <w:sz w:val="40"/>
                <w:szCs w:val="40"/>
              </w:rPr>
              <w:t xml:space="preserve">Subsidies &amp; Financieringsmogelijkheden</w:t>
            </w:r>
          </w:p>
          <w:p>
            <w:pPr>
              <w:spacing w:after="100"/>
              <w:jc w:val="center"/>
            </w:pPr>
            <w:r>
              <w:rPr>
                <w:rFonts w:ascii="Arial" w:cs="Arial" w:eastAsia="Arial" w:hAnsi="Arial"/>
                <w:b/>
                <w:bCs/>
                <w:color w:val="FFFFFF"/>
                <w:sz w:val="36"/>
                <w:szCs w:val="36"/>
              </w:rPr>
              <w:t xml:space="preserve">Gevelisolatie Appartementsgebouw</w:t>
            </w:r>
          </w:p>
        </w:tc>
      </w:tr>
    </w:tbl>
    <w:p>
      <w:pPr>
        <w:spacing w:after="6"/>
      </w:pPr>
    </w:p>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2"/>
              <w:left w:val="none" w:color="FFFFFF" w:sz="0"/>
              <w:bottom w:val="single" w:color="2E86C1" w:sz="2"/>
              <w:right w:val="none" w:color="FFFFFF" w:sz="0"/>
            </w:tcBorders>
            <w:tcMar>
              <w:top w:type="dxa" w:w="200"/>
              <w:left w:type="dxa" w:w="200"/>
              <w:bottom w:type="dxa" w:w="200"/>
              <w:right w:type="dxa" w:w="200"/>
            </w:tcMar>
          </w:tcPr>
          <w:p>
            <w:pPr>
              <w:spacing w:after="120"/>
              <w:jc w:val="center"/>
            </w:pPr>
            <w:r>
              <w:rPr>
                <w:rFonts w:ascii="Arial" w:cs="Arial" w:eastAsia="Arial" w:hAnsi="Arial"/>
                <w:color w:val="666666"/>
                <w:sz w:val="24"/>
                <w:szCs w:val="24"/>
              </w:rPr>
              <w:t xml:space="preserve">Appartementsgebouw — Bouwjaar 1971</w:t>
            </w:r>
          </w:p>
          <w:p>
            <w:pPr>
              <w:spacing w:after="120"/>
              <w:jc w:val="center"/>
            </w:pPr>
            <w:r>
              <w:rPr>
                <w:rFonts w:ascii="Arial" w:cs="Arial" w:eastAsia="Arial" w:hAnsi="Arial"/>
                <w:color w:val="666666"/>
                <w:sz w:val="24"/>
                <w:szCs w:val="24"/>
              </w:rPr>
              <w:t xml:space="preserve">13 verdiepingen • 100+ wooneenheden</w:t>
            </w:r>
          </w:p>
          <w:p>
            <w:pPr>
              <w:spacing w:after="120"/>
              <w:jc w:val="center"/>
            </w:pPr>
            <w:r>
              <w:rPr>
                <w:rFonts w:ascii="Arial" w:cs="Arial" w:eastAsia="Arial" w:hAnsi="Arial"/>
                <w:color w:val="666666"/>
                <w:sz w:val="24"/>
                <w:szCs w:val="24"/>
              </w:rPr>
              <w:t xml:space="preserve">Renovatie en isolatie van de volledige geveloppervlakte</w:t>
            </w:r>
          </w:p>
          <w:p>
            <w:pPr>
              <w:jc w:val="center"/>
            </w:pPr>
            <w:r>
              <w:rPr>
                <w:rFonts w:ascii="Arial" w:cs="Arial" w:eastAsia="Arial" w:hAnsi="Arial"/>
                <w:color w:val="666666"/>
                <w:sz w:val="24"/>
                <w:szCs w:val="24"/>
              </w:rPr>
              <w:t xml:space="preserve">Vlaams Gewest</w:t>
            </w:r>
          </w:p>
        </w:tc>
      </w:tr>
    </w:tbl>
    <w:p>
      <w:pPr>
        <w:spacing w:after="6"/>
      </w:pPr>
    </w:p>
    <w:p>
      <w:pPr>
        <w:spacing w:after="6"/>
      </w:pPr>
    </w:p>
    <w:p>
      <w:pPr>
        <w:spacing w:after="6"/>
      </w:pPr>
    </w:p>
    <w:p>
      <w:pPr>
        <w:spacing w:after="6"/>
      </w:pPr>
    </w:p>
    <w:p>
      <w:pPr>
        <w:spacing w:after="6"/>
      </w:pPr>
    </w:p>
    <w:p>
      <w:pPr>
        <w:spacing w:after="6"/>
      </w:pPr>
    </w:p>
    <w:p>
      <w:pPr>
        <w:spacing w:after="6"/>
      </w:pPr>
    </w:p>
    <w:p>
      <w:pPr>
        <w:jc w:val="center"/>
      </w:pPr>
      <w:r>
        <w:rPr>
          <w:rFonts w:ascii="Arial" w:cs="Arial" w:eastAsia="Arial" w:hAnsi="Arial"/>
          <w:color w:val="666666"/>
          <w:sz w:val="22"/>
          <w:szCs w:val="22"/>
        </w:rPr>
        <w:t xml:space="preserve">Opgesteld: maart 2026</w:t>
      </w:r>
    </w:p>
    <w:p>
      <w:pPr>
        <w:spacing w:after="100"/>
        <w:jc w:val="center"/>
      </w:pPr>
      <w:r>
        <w:rPr>
          <w:rFonts w:ascii="Arial" w:cs="Arial" w:eastAsia="Arial" w:hAnsi="Arial"/>
          <w:i/>
          <w:iCs/>
          <w:color w:val="666666"/>
          <w:sz w:val="20"/>
          <w:szCs w:val="20"/>
        </w:rPr>
        <w:t xml:space="preserve">Ten behoeve van de Vereniging van Mede-Eigenaars (VME) en syndicus</w:t>
      </w:r>
    </w:p>
    <w:p>
      <w:pPr>
        <w:sectPr>
          <w:pgSz w:w="11906" w:h="16838" w:orient="portrait"/>
          <w:pgMar w:top="1440" w:right="1440" w:bottom="1440" w:left="1440" w:header="708" w:footer="708" w:gutter="0"/>
          <w:pgNumType/>
          <w:docGrid w:linePitch="360"/>
        </w:sectPr>
      </w:pPr>
    </w:p>
    <w:p>
      <w:pPr>
        <w:pStyle w:val="Heading1"/>
      </w:pPr>
      <w:r>
        <w:t xml:space="preserve">1. Inleiding en Context</w:t>
      </w:r>
    </w:p>
    <w:p>
      <w:pPr>
        <w:spacing w:after="160"/>
        <w:jc w:val="both"/>
      </w:pPr>
      <w:r>
        <w:rPr>
          <w:rFonts w:ascii="Arial" w:cs="Arial" w:eastAsia="Arial" w:hAnsi="Arial"/>
          <w:sz w:val="22"/>
          <w:szCs w:val="22"/>
        </w:rPr>
        <w:t xml:space="preserve">Dit informatiedossier biedt een volledig overzicht van de beschikbare subsidies, premies en financieringsmogelijkheden voor de gevelisolatie van het appartementsgebouw. Het document is bedoeld als beslissingsondersteunend instrument voor de Vereniging van Mede-Eigenaars (VME), de syndicus en de individuele mede-eigenaars.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
              <w:left w:val="single" w:color="2E86C1" w:sz="6"/>
              <w:bottom w:val="single" w:color="2E86C1" w:sz="1"/>
              <w:right w:val="single" w:color="2E86C1" w:sz="1"/>
            </w:tcBorders>
            <w:shd w:fill="EBF5FB" w:val="clear"/>
            <w:tcMar>
              <w:top w:type="dxa" w:w="120"/>
              <w:left w:type="dxa" w:w="200"/>
              <w:bottom w:type="dxa" w:w="120"/>
              <w:right w:type="dxa" w:w="200"/>
            </w:tcMar>
          </w:tcPr>
          <w:p>
            <w:pPr>
              <w:spacing w:after="80"/>
            </w:pPr>
            <w:r>
              <w:rPr>
                <w:rFonts w:ascii="Arial" w:cs="Arial" w:eastAsia="Arial" w:hAnsi="Arial"/>
                <w:b/>
                <w:bCs/>
                <w:color w:val="1B4F72"/>
                <w:sz w:val="22"/>
                <w:szCs w:val="22"/>
              </w:rPr>
              <w:t xml:space="preserve">Kenmerken van het gebouw</w:t>
            </w:r>
          </w:p>
          <w:p>
            <w:pPr>
              <w:spacing w:after="60"/>
            </w:pPr>
            <w:r>
              <w:rPr>
                <w:rFonts w:ascii="Arial" w:cs="Arial" w:eastAsia="Arial" w:hAnsi="Arial"/>
                <w:b/>
                <w:bCs/>
                <w:sz w:val="20"/>
                <w:szCs w:val="20"/>
              </w:rPr>
              <w:t xml:space="preserve">Bouwjaar: </w:t>
            </w:r>
            <w:r>
              <w:rPr>
                <w:rFonts w:ascii="Arial" w:cs="Arial" w:eastAsia="Arial" w:hAnsi="Arial"/>
                <w:sz w:val="20"/>
                <w:szCs w:val="20"/>
              </w:rPr>
              <w:t xml:space="preserve">1971  |  </w:t>
            </w:r>
            <w:r>
              <w:rPr>
                <w:rFonts w:ascii="Arial" w:cs="Arial" w:eastAsia="Arial" w:hAnsi="Arial"/>
                <w:b/>
                <w:bCs/>
                <w:sz w:val="20"/>
                <w:szCs w:val="20"/>
              </w:rPr>
              <w:t xml:space="preserve">Verdiepingen: </w:t>
            </w:r>
            <w:r>
              <w:rPr>
                <w:rFonts w:ascii="Arial" w:cs="Arial" w:eastAsia="Arial" w:hAnsi="Arial"/>
                <w:sz w:val="20"/>
                <w:szCs w:val="20"/>
              </w:rPr>
              <w:t xml:space="preserve">13  |  </w:t>
            </w:r>
            <w:r>
              <w:rPr>
                <w:rFonts w:ascii="Arial" w:cs="Arial" w:eastAsia="Arial" w:hAnsi="Arial"/>
                <w:b/>
                <w:bCs/>
                <w:sz w:val="20"/>
                <w:szCs w:val="20"/>
              </w:rPr>
              <w:t xml:space="preserve">Wooneenheden: </w:t>
            </w:r>
            <w:r>
              <w:rPr>
                <w:rFonts w:ascii="Arial" w:cs="Arial" w:eastAsia="Arial" w:hAnsi="Arial"/>
                <w:sz w:val="20"/>
                <w:szCs w:val="20"/>
              </w:rPr>
              <w:t xml:space="preserve">100+</w:t>
            </w:r>
          </w:p>
          <w:p>
            <w:pPr>
              <w:spacing w:after="60"/>
            </w:pPr>
            <w:r>
              <w:rPr>
                <w:rFonts w:ascii="Arial" w:cs="Arial" w:eastAsia="Arial" w:hAnsi="Arial"/>
                <w:b/>
                <w:bCs/>
                <w:sz w:val="20"/>
                <w:szCs w:val="20"/>
              </w:rPr>
              <w:t xml:space="preserve">Geplande werken: </w:t>
            </w:r>
            <w:r>
              <w:rPr>
                <w:rFonts w:ascii="Arial" w:cs="Arial" w:eastAsia="Arial" w:hAnsi="Arial"/>
                <w:sz w:val="20"/>
                <w:szCs w:val="20"/>
              </w:rPr>
              <w:t xml:space="preserve">Renovatie en isolatie van de volledige geveloppervlakte</w:t>
            </w:r>
          </w:p>
          <w:p>
            <w:r>
              <w:rPr>
                <w:rFonts w:ascii="Arial" w:cs="Arial" w:eastAsia="Arial" w:hAnsi="Arial"/>
                <w:b/>
                <w:bCs/>
                <w:sz w:val="20"/>
                <w:szCs w:val="20"/>
              </w:rPr>
              <w:t xml:space="preserve">Gewest: </w:t>
            </w:r>
            <w:r>
              <w:rPr>
                <w:rFonts w:ascii="Arial" w:cs="Arial" w:eastAsia="Arial" w:hAnsi="Arial"/>
                <w:sz w:val="20"/>
                <w:szCs w:val="20"/>
              </w:rPr>
              <w:t xml:space="preserve">Vlaanderen</w:t>
            </w:r>
          </w:p>
        </w:tc>
      </w:tr>
    </w:tbl>
    <w:p>
      <w:pPr>
        <w:spacing w:after="6"/>
      </w:pPr>
    </w:p>
    <w:p>
      <w:pPr>
        <w:spacing w:after="160"/>
        <w:jc w:val="both"/>
      </w:pPr>
      <w:r>
        <w:rPr>
          <w:rFonts w:ascii="Arial" w:cs="Arial" w:eastAsia="Arial" w:hAnsi="Arial"/>
          <w:sz w:val="22"/>
          <w:szCs w:val="22"/>
        </w:rPr>
        <w:t xml:space="preserve">Het gebouw voldoet aan de kernvoorwaarden voor subsidie-aanvragen: het is gelegen in het Vlaamse Gewest, is ruim vóór 1 januari 2006 aangesloten op het elektriciteitsdistributienet, en omvat meer dan 15 wooneenheden waardoor het in aanmerking komt voor uitgebreide ondersteuning, waaronder het renovatiemasterplan en gratis renovatiebegeleiding.</w:t>
      </w:r>
    </w:p>
    <w:p>
      <w:pPr>
        <w:spacing w:after="160"/>
        <w:jc w:val="both"/>
      </w:pPr>
      <w:r>
        <w:rPr>
          <w:rFonts w:ascii="Arial" w:cs="Arial" w:eastAsia="Arial" w:hAnsi="Arial"/>
          <w:sz w:val="22"/>
          <w:szCs w:val="22"/>
        </w:rPr>
        <w:t xml:space="preserve">De Vlaamse overheid heeft per 1 maart 2026 ingrijpende wijzigingen doorgevoerd aan het premiestelsel. Dit dossier is opgesteld conform de regelgeving zoals van kracht per maart 2026 en houdt rekening met de meest recente aanpassingen.</w:t>
      </w:r>
    </w:p>
    <w:p>
      <w:pPr>
        <w:pStyle w:val="Heading1"/>
      </w:pPr>
      <w:r>
        <w:t xml:space="preserve">2. Overzicht Financieringsmogelijkheden</w:t>
      </w:r>
    </w:p>
    <w:p>
      <w:pPr>
        <w:spacing w:after="160"/>
        <w:jc w:val="both"/>
      </w:pPr>
      <w:r>
        <w:rPr>
          <w:rFonts w:ascii="Arial" w:cs="Arial" w:eastAsia="Arial" w:hAnsi="Arial"/>
          <w:sz w:val="22"/>
          <w:szCs w:val="22"/>
        </w:rPr>
        <w:t xml:space="preserve">Het totale pakket aan financieringsmogelijkheden bestaat uit meerdere lagen: Europese fondsen, Vlaamse premies en leningen, gemeentelijke subsidies en fiscale voordelen. Onderstaande tabel biedt een samenvatting van alle beschikbare instrumenten.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2626"/>
      </w:tblGrid>
      <w:tr>
        <w:tc>
          <w:tcPr>
            <w:tcW w:type="dxa" w:w="2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Instrument</w:t>
            </w:r>
          </w:p>
        </w:tc>
        <w:tc>
          <w:tcPr>
            <w:tcW w:type="dxa" w:w="1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Aanvrager</w:t>
            </w:r>
          </w:p>
        </w:tc>
        <w:tc>
          <w:tcPr>
            <w:tcW w:type="dxa" w:w="1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Type</w:t>
            </w:r>
          </w:p>
        </w:tc>
        <w:tc>
          <w:tcPr>
            <w:tcW w:type="dxa" w:w="26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Status 2026</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Renovatiemasterplan (VEKA)</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VME</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Subsidie (60%)</w:t>
            </w:r>
          </w:p>
        </w:tc>
        <w:tc>
          <w:tcPr>
            <w:tcW w:type="dxa" w:w="26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Actief</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Mijn VerbouwPremie — Basispremie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VME / syndicus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Premie per m²</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Actief (alle cat.)</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 VerbouwPremie — Aanvullend</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Individueel</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 van factuur</w:t>
            </w:r>
          </w:p>
        </w:tc>
        <w:tc>
          <w:tcPr>
            <w:tcW w:type="dxa" w:w="26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Cat. 3 &amp; 4 alleen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Mijn VerbouwBegeleiding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VME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Gratis dienst</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Actief (≥15 eenh.)</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 VerbouwLening</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Individueel</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Lening</w:t>
            </w:r>
          </w:p>
        </w:tc>
        <w:tc>
          <w:tcPr>
            <w:tcW w:type="dxa" w:w="26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Actief (cat. 3 &amp; 4)</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Mijn EPC-labelpremie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Individueel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Premie</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Tot 30/06/2026</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Verlaagd btw-tarief (6%)</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VME / eigenaar</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Fiscaal</w:t>
            </w:r>
          </w:p>
        </w:tc>
        <w:tc>
          <w:tcPr>
            <w:tcW w:type="dxa" w:w="26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Actief (&gt;10 jaar)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Gemeentelijke premies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VME / eigenaar</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Premie</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Gemeente-afhankelijk</w:t>
            </w:r>
          </w:p>
        </w:tc>
      </w:tr>
      <w:tr>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EU Social Climate Fund</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Via lidstaat</w:t>
            </w:r>
          </w:p>
        </w:tc>
        <w:tc>
          <w:tcPr>
            <w:tcW w:type="dxa" w:w="1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EU-fonds</w:t>
            </w:r>
          </w:p>
        </w:tc>
        <w:tc>
          <w:tcPr>
            <w:tcW w:type="dxa" w:w="26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2026–2032</w:t>
            </w:r>
          </w:p>
        </w:tc>
      </w:tr>
    </w:tbl>
    <w:p>
      <w:r>
        <w:br w:type="page"/>
      </w:r>
    </w:p>
    <w:p>
      <w:pPr>
        <w:pStyle w:val="Heading1"/>
      </w:pPr>
      <w:r>
        <w:t xml:space="preserve">3. Renovatiemasterplan — De Eerste Stap</w:t>
      </w:r>
    </w:p>
    <w:p>
      <w:pPr>
        <w:spacing w:after="160"/>
        <w:jc w:val="both"/>
      </w:pPr>
      <w:r>
        <w:rPr>
          <w:rFonts w:ascii="Arial" w:cs="Arial" w:eastAsia="Arial" w:hAnsi="Arial"/>
          <w:sz w:val="22"/>
          <w:szCs w:val="22"/>
        </w:rPr>
        <w:t xml:space="preserve">Voor een appartementsgebouw van deze omvang (100+ wooneenheden) is het renovatiemasterplan de aanbevolen eerste stap. Dit plan biedt de VME een onderbouwd en gestructureerd kader om de gevelisolatie en eventuele andere renovatie-ingrepen te plannen, te prioriteren en op de Algemene Vergadering voor te leggen.</w:t>
      </w:r>
    </w:p>
    <w:p>
      <w:pPr>
        <w:pStyle w:val="Heading2"/>
      </w:pPr>
      <w:r>
        <w:t xml:space="preserve">3.1 Inhoud van het renovatiemasterplan</w:t>
      </w:r>
    </w:p>
    <w:p>
      <w:pPr>
        <w:spacing w:after="160"/>
        <w:jc w:val="both"/>
      </w:pPr>
      <w:r>
        <w:rPr>
          <w:rFonts w:ascii="Arial" w:cs="Arial" w:eastAsia="Arial" w:hAnsi="Arial"/>
          <w:sz w:val="22"/>
          <w:szCs w:val="22"/>
        </w:rPr>
        <w:t xml:space="preserve">Het renovatiemasterplan wordt opgesteld door een door het Vlaams Energie- en Klimaatagentschap (VEKA) erkend studiebureau en bestaat uit drie onderdelen.</w:t>
      </w:r>
    </w:p>
    <w:p>
      <w:pPr>
        <w:spacing w:after="160"/>
        <w:jc w:val="both"/>
      </w:pPr>
      <w:r>
        <w:rPr>
          <w:rFonts w:ascii="Arial" w:cs="Arial" w:eastAsia="Arial" w:hAnsi="Arial"/>
          <w:b/>
          <w:bCs/>
          <w:sz w:val="22"/>
          <w:szCs w:val="22"/>
        </w:rPr>
        <w:t xml:space="preserve">Conditiestaatmeting: </w:t>
      </w:r>
      <w:r>
        <w:rPr>
          <w:rFonts w:ascii="Arial" w:cs="Arial" w:eastAsia="Arial" w:hAnsi="Arial"/>
          <w:sz w:val="22"/>
          <w:szCs w:val="22"/>
        </w:rPr>
        <w:t xml:space="preserve">een grondige analyse van de technische, energetische en veiligheidsaspecten van het gebouw, inclusief de huidige staat van de gevels, dakstructuur, installaties en woonkwaliteit.</w:t>
      </w:r>
    </w:p>
    <w:p>
      <w:pPr>
        <w:spacing w:after="160"/>
        <w:jc w:val="both"/>
      </w:pPr>
      <w:r>
        <w:rPr>
          <w:rFonts w:ascii="Arial" w:cs="Arial" w:eastAsia="Arial" w:hAnsi="Arial"/>
          <w:b/>
          <w:bCs/>
          <w:sz w:val="22"/>
          <w:szCs w:val="22"/>
        </w:rPr>
        <w:t xml:space="preserve">Meerjarenonderhoudsplan: </w:t>
      </w:r>
      <w:r>
        <w:rPr>
          <w:rFonts w:ascii="Arial" w:cs="Arial" w:eastAsia="Arial" w:hAnsi="Arial"/>
          <w:sz w:val="22"/>
          <w:szCs w:val="22"/>
        </w:rPr>
        <w:t xml:space="preserve">een overzicht van alle noodzakelijke onderhouds- en vervangingsinvesteringen over een periode van 20 jaar, inclusief wettelijk verplichte investeringen.</w:t>
      </w:r>
    </w:p>
    <w:p>
      <w:pPr>
        <w:spacing w:after="160"/>
        <w:jc w:val="both"/>
      </w:pPr>
      <w:r>
        <w:rPr>
          <w:rFonts w:ascii="Arial" w:cs="Arial" w:eastAsia="Arial" w:hAnsi="Arial"/>
          <w:b/>
          <w:bCs/>
          <w:sz w:val="22"/>
          <w:szCs w:val="22"/>
        </w:rPr>
        <w:t xml:space="preserve">Duurzaam renovatiescenario: </w:t>
      </w:r>
      <w:r>
        <w:rPr>
          <w:rFonts w:ascii="Arial" w:cs="Arial" w:eastAsia="Arial" w:hAnsi="Arial"/>
          <w:sz w:val="22"/>
          <w:szCs w:val="22"/>
        </w:rPr>
        <w:t xml:space="preserve">een concreet stappenplan met prioriteiten om het gebouw energiezuinig te maken richting de langetermijndoelstelling 2050, met inschatting van investeringskosten, verwachte energiebesparingen en impact op de vastgoedwaarde.</w:t>
      </w:r>
    </w:p>
    <w:p>
      <w:pPr>
        <w:pStyle w:val="Heading2"/>
      </w:pPr>
      <w:r>
        <w:t xml:space="preserve">3.2 Financiële ondersteuning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
              <w:left w:val="single" w:color="2E86C1" w:sz="6"/>
              <w:bottom w:val="single" w:color="2E86C1" w:sz="1"/>
              <w:right w:val="single" w:color="2E86C1" w:sz="1"/>
            </w:tcBorders>
            <w:shd w:fill="EBF5FB" w:val="clear"/>
            <w:tcMar>
              <w:top w:type="dxa" w:w="120"/>
              <w:left w:type="dxa" w:w="200"/>
              <w:bottom w:type="dxa" w:w="120"/>
              <w:right w:type="dxa" w:w="200"/>
            </w:tcMar>
          </w:tcPr>
          <w:p>
            <w:pPr>
              <w:spacing w:after="80"/>
            </w:pPr>
            <w:r>
              <w:rPr>
                <w:rFonts w:ascii="Arial" w:cs="Arial" w:eastAsia="Arial" w:hAnsi="Arial"/>
                <w:b/>
                <w:bCs/>
                <w:color w:val="1B4F72"/>
                <w:sz w:val="22"/>
                <w:szCs w:val="22"/>
              </w:rPr>
              <w:t xml:space="preserve">VEKA-subsidie voor het renovatiemasterplan</w:t>
            </w:r>
          </w:p>
          <w:p>
            <w:pPr>
              <w:spacing w:after="60"/>
            </w:pPr>
            <w:r>
              <w:rPr>
                <w:rFonts w:ascii="Arial" w:cs="Arial" w:eastAsia="Arial" w:hAnsi="Arial"/>
                <w:b/>
                <w:bCs/>
                <w:sz w:val="20"/>
                <w:szCs w:val="20"/>
              </w:rPr>
              <w:t xml:space="preserve">Subsidiebedrag: </w:t>
            </w:r>
            <w:r>
              <w:rPr>
                <w:rFonts w:ascii="Arial" w:cs="Arial" w:eastAsia="Arial" w:hAnsi="Arial"/>
                <w:sz w:val="20"/>
                <w:szCs w:val="20"/>
              </w:rPr>
              <w:t xml:space="preserve">tot €12.000 (incl. btw), maximaal 60% van de kostprijs van het studiewerk</w:t>
            </w:r>
          </w:p>
          <w:p>
            <w:pPr>
              <w:spacing w:after="60"/>
            </w:pPr>
            <w:r>
              <w:rPr>
                <w:rFonts w:ascii="Arial" w:cs="Arial" w:eastAsia="Arial" w:hAnsi="Arial"/>
                <w:b/>
                <w:bCs/>
                <w:sz w:val="20"/>
                <w:szCs w:val="20"/>
              </w:rPr>
              <w:t xml:space="preserve">Doelgroep: </w:t>
            </w:r>
            <w:r>
              <w:rPr>
                <w:rFonts w:ascii="Arial" w:cs="Arial" w:eastAsia="Arial" w:hAnsi="Arial"/>
                <w:sz w:val="20"/>
                <w:szCs w:val="20"/>
              </w:rPr>
              <w:t xml:space="preserve">appartementsgebouwen met minstens 15 wooneenheden</w:t>
            </w:r>
          </w:p>
          <w:p>
            <w:pPr>
              <w:spacing w:after="60"/>
            </w:pPr>
            <w:r>
              <w:rPr>
                <w:rFonts w:ascii="Arial" w:cs="Arial" w:eastAsia="Arial" w:hAnsi="Arial"/>
                <w:b/>
                <w:bCs/>
                <w:sz w:val="20"/>
                <w:szCs w:val="20"/>
              </w:rPr>
              <w:t xml:space="preserve">Aanvraag: </w:t>
            </w:r>
            <w:r>
              <w:rPr>
                <w:rFonts w:ascii="Arial" w:cs="Arial" w:eastAsia="Arial" w:hAnsi="Arial"/>
                <w:sz w:val="20"/>
                <w:szCs w:val="20"/>
              </w:rPr>
              <w:t xml:space="preserve">het erkende studiebureau vraagt de subsidie rechtstreeks aan bij het VEKA</w:t>
            </w:r>
          </w:p>
          <w:p>
            <w:r>
              <w:rPr>
                <w:rFonts w:ascii="Arial" w:cs="Arial" w:eastAsia="Arial" w:hAnsi="Arial"/>
                <w:b/>
                <w:bCs/>
                <w:sz w:val="20"/>
                <w:szCs w:val="20"/>
              </w:rPr>
              <w:t xml:space="preserve">Eigen bijdrage VME: </w:t>
            </w:r>
            <w:r>
              <w:rPr>
                <w:rFonts w:ascii="Arial" w:cs="Arial" w:eastAsia="Arial" w:hAnsi="Arial"/>
                <w:sz w:val="20"/>
                <w:szCs w:val="20"/>
              </w:rPr>
              <w:t xml:space="preserve">de resterende 40% van de kostprijs</w:t>
            </w:r>
          </w:p>
        </w:tc>
      </w:tr>
    </w:tbl>
    <w:p>
      <w:pPr>
        <w:spacing w:after="6"/>
      </w:pPr>
    </w:p>
    <w:p>
      <w:pPr>
        <w:pStyle w:val="Heading2"/>
      </w:pPr>
      <w:r>
        <w:t xml:space="preserve">3.3 Gratis renovatiebegeleiding (Mijn VerbouwBegeleiding)</w:t>
      </w:r>
    </w:p>
    <w:p>
      <w:pPr>
        <w:spacing w:after="160"/>
        <w:jc w:val="both"/>
      </w:pPr>
      <w:r>
        <w:rPr>
          <w:rFonts w:ascii="Arial" w:cs="Arial" w:eastAsia="Arial" w:hAnsi="Arial"/>
          <w:sz w:val="22"/>
          <w:szCs w:val="22"/>
        </w:rPr>
        <w:t xml:space="preserve">Aanvullend op het renovatiemasterplan biedt het VEKA via Mijn VerbouwBegeleiding gratis en onafhankelijke renovatiebegeleiding aan voor VME’s van gebouwen met minstens 15 wooneenheden. Een renovatiecoach helpt bij het opstellen van het masterplan, geeft advies over financieringsmogelijkheden, en ondersteunt bij het creëren van draagvlak onder de mede-eigenaars. Daarnaast kunnen alle VME’s begeleiding krijgen bij de uitvoering van werken aan de gemeenschappelijke delen, inclusief hulp bij aannemers, offertes en premieaanvragen.</w:t>
      </w:r>
    </w:p>
    <w:p>
      <w:r>
        <w:br w:type="page"/>
      </w:r>
    </w:p>
    <w:p>
      <w:pPr>
        <w:pStyle w:val="Heading1"/>
      </w:pPr>
      <w:r>
        <w:t xml:space="preserve">4. Mijn VerbouwPremie — Gevelisolatie</w:t>
      </w:r>
    </w:p>
    <w:p>
      <w:pPr>
        <w:spacing w:after="160"/>
        <w:jc w:val="both"/>
      </w:pPr>
      <w:r>
        <w:rPr>
          <w:rFonts w:ascii="Arial" w:cs="Arial" w:eastAsia="Arial" w:hAnsi="Arial"/>
          <w:sz w:val="22"/>
          <w:szCs w:val="22"/>
        </w:rPr>
        <w:t xml:space="preserve">Mijn VerbouwPremie is het centrale premie-instrument van de Vlaamse overheid voor renovatie- en energiebesparende investeringen. Voor de gevelisolatie van een appartementsgebouw wordt de premie aangevraagd in de categorie ‘buitenmuur’. Aangezien de gevel een gemeenschappelijk deel is, verloopt de aanvraag via de VME.</w:t>
      </w:r>
    </w:p>
    <w:p>
      <w:pPr>
        <w:pStyle w:val="Heading2"/>
      </w:pPr>
      <w:r>
        <w:t xml:space="preserve">4.1 Premiestructuur voor appartementsgebouwen</w:t>
      </w:r>
    </w:p>
    <w:p>
      <w:pPr>
        <w:spacing w:after="160"/>
        <w:jc w:val="both"/>
      </w:pPr>
      <w:r>
        <w:rPr>
          <w:rFonts w:ascii="Arial" w:cs="Arial" w:eastAsia="Arial" w:hAnsi="Arial"/>
          <w:sz w:val="22"/>
          <w:szCs w:val="22"/>
        </w:rPr>
        <w:t xml:space="preserve">De premie voor werken aan gemeenschappelijke delen van een appartementsgebouw bestaat uit twee lagen:</w:t>
      </w:r>
    </w:p>
    <w:p>
      <w:pPr>
        <w:spacing w:after="160"/>
        <w:jc w:val="both"/>
      </w:pPr>
      <w:r>
        <w:rPr>
          <w:rFonts w:ascii="Arial" w:cs="Arial" w:eastAsia="Arial" w:hAnsi="Arial"/>
          <w:b/>
          <w:bCs/>
          <w:sz w:val="22"/>
          <w:szCs w:val="22"/>
        </w:rPr>
        <w:t xml:space="preserve">A. Basispremie (via de VME): </w:t>
      </w:r>
      <w:r>
        <w:rPr>
          <w:rFonts w:ascii="Arial" w:cs="Arial" w:eastAsia="Arial" w:hAnsi="Arial"/>
          <w:sz w:val="22"/>
          <w:szCs w:val="22"/>
        </w:rPr>
        <w:t xml:space="preserve">een forfaitaire premie per m² geveloppervlakte, aangevraagd door de VME of de syndicus namens de VME. Deze basispremie blijft beschikbaar voor alle categorieën van werken.</w:t>
      </w:r>
    </w:p>
    <w:p>
      <w:pPr>
        <w:spacing w:after="160"/>
        <w:jc w:val="both"/>
      </w:pPr>
      <w:r>
        <w:rPr>
          <w:rFonts w:ascii="Arial" w:cs="Arial" w:eastAsia="Arial" w:hAnsi="Arial"/>
          <w:b/>
          <w:bCs/>
          <w:sz w:val="22"/>
          <w:szCs w:val="22"/>
        </w:rPr>
        <w:t xml:space="preserve">B. Aanvullende premie (individueel): </w:t>
      </w:r>
      <w:r>
        <w:rPr>
          <w:rFonts w:ascii="Arial" w:cs="Arial" w:eastAsia="Arial" w:hAnsi="Arial"/>
          <w:sz w:val="22"/>
          <w:szCs w:val="22"/>
        </w:rPr>
        <w:t xml:space="preserve">na toekenning van de basispremie kan elke individuele eigenaar-bewoner in inkomenscategorie 3 of 4 (lagere inkomens) een aanvullende premie aanvragen. Eigenaar-bewoners in categorie 4 ontvangen 50% van hun aandeel in de factuur; eigenaars in categorie 3 ontvangen 35%. Verhuurders aan een woonmaatschappij komen eveneens in aanmerking.</w:t>
      </w:r>
    </w:p>
    <w:p>
      <w:pPr>
        <w:pStyle w:val="Heading2"/>
      </w:pPr>
      <w:r>
        <w:t xml:space="preserve">4.2 Inkomenscategorieën en gevolgen per 1 maart 2026</w:t>
      </w:r>
    </w:p>
    <w:p>
      <w:pPr>
        <w:spacing w:after="160"/>
        <w:jc w:val="both"/>
      </w:pPr>
      <w:r>
        <w:rPr>
          <w:rFonts w:ascii="Arial" w:cs="Arial" w:eastAsia="Arial" w:hAnsi="Arial"/>
          <w:sz w:val="22"/>
          <w:szCs w:val="22"/>
        </w:rPr>
        <w:t xml:space="preserve">Sinds 1 maart 2026 gelden ingrijpende wijzigingen aan het premiestelsel. De impact per inkomenscategorie is als volgt: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2800"/>
        <w:gridCol w:w="2426"/>
      </w:tblGrid>
      <w:tr>
        <w:tc>
          <w:tcPr>
            <w:tcW w:type="dxa" w:w="16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Categorie</w:t>
            </w:r>
          </w:p>
        </w:tc>
        <w:tc>
          <w:tcPr>
            <w:tcW w:type="dxa" w:w="22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Inkomensprofiel</w:t>
            </w:r>
          </w:p>
        </w:tc>
        <w:tc>
          <w:tcPr>
            <w:tcW w:type="dxa" w:w="28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Premie gevelisolatie</w:t>
            </w:r>
          </w:p>
        </w:tc>
        <w:tc>
          <w:tcPr>
            <w:tcW w:type="dxa" w:w="24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Aanvullende premie</w:t>
            </w:r>
          </w:p>
        </w:tc>
      </w:tr>
      <w:tr>
        <w:tc>
          <w:tcPr>
            <w:tcW w:type="dxa" w:w="16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b/>
                <w:bCs/>
                <w:sz w:val="20"/>
                <w:szCs w:val="20"/>
                <w:shd w:val="clear" w:fill="auto"/>
              </w:rPr>
              <w:t xml:space="preserve">Cat. 4</w:t>
            </w:r>
          </w:p>
        </w:tc>
        <w:tc>
          <w:tcPr>
            <w:tcW w:type="dxa" w:w="22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Laagste inkomens</w:t>
            </w:r>
          </w:p>
        </w:tc>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Ja — max. 50% factuur</w:t>
            </w:r>
          </w:p>
        </w:tc>
        <w:tc>
          <w:tcPr>
            <w:tcW w:type="dxa" w:w="24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Ja (50% individueel)</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sz w:val="20"/>
                <w:szCs w:val="20"/>
              </w:rPr>
              <w:t xml:space="preserve">Cat. 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Lagere middeninkomens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Ja — max. 35% factuur</w:t>
            </w:r>
          </w:p>
        </w:tc>
        <w:tc>
          <w:tcPr>
            <w:tcW w:type="dxa" w:w="2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Ja (35% individueel)</w:t>
            </w:r>
          </w:p>
        </w:tc>
      </w:tr>
      <w:tr>
        <w:tc>
          <w:tcPr>
            <w:tcW w:type="dxa" w:w="16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b/>
                <w:bCs/>
                <w:sz w:val="20"/>
                <w:szCs w:val="20"/>
                <w:shd w:val="clear" w:fill="auto"/>
              </w:rPr>
              <w:t xml:space="preserve">Cat. 2</w:t>
            </w:r>
          </w:p>
        </w:tc>
        <w:tc>
          <w:tcPr>
            <w:tcW w:type="dxa" w:w="22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Hogere middeninkomens</w:t>
            </w:r>
          </w:p>
        </w:tc>
        <w:tc>
          <w:tcPr>
            <w:tcW w:type="dxa" w:w="28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color w:val="C0392B"/>
                <w:sz w:val="20"/>
                <w:szCs w:val="20"/>
              </w:rPr>
              <w:t xml:space="preserve">Nee — enkel warmtepomp</w:t>
            </w:r>
          </w:p>
        </w:tc>
        <w:tc>
          <w:tcPr>
            <w:tcW w:type="dxa" w:w="24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color w:val="C0392B"/>
                <w:sz w:val="20"/>
                <w:szCs w:val="20"/>
              </w:rPr>
              <w:t xml:space="preserve">Niet beschikbaar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sz w:val="20"/>
                <w:szCs w:val="20"/>
              </w:rPr>
              <w:t xml:space="preserve">Cat. 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Hoogste inkomens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C0392B"/>
                <w:sz w:val="20"/>
                <w:szCs w:val="20"/>
              </w:rPr>
              <w:t xml:space="preserve">Nee — enkel warmtepomp</w:t>
            </w:r>
          </w:p>
        </w:tc>
        <w:tc>
          <w:tcPr>
            <w:tcW w:type="dxa" w:w="2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color w:val="C0392B"/>
                <w:sz w:val="20"/>
                <w:szCs w:val="20"/>
              </w:rPr>
              <w:t xml:space="preserve">Niet beschikbaar</w:t>
            </w:r>
          </w:p>
        </w:tc>
      </w:tr>
    </w:tbl>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
              <w:left w:val="single" w:color="2E86C1" w:sz="6"/>
              <w:bottom w:val="single" w:color="2E86C1" w:sz="1"/>
              <w:right w:val="single" w:color="2E86C1" w:sz="1"/>
            </w:tcBorders>
            <w:shd w:fill="EBF5FB" w:val="clear"/>
            <w:tcMar>
              <w:top w:type="dxa" w:w="120"/>
              <w:left w:type="dxa" w:w="200"/>
              <w:bottom w:type="dxa" w:w="120"/>
              <w:right w:type="dxa" w:w="200"/>
            </w:tcMar>
          </w:tcPr>
          <w:p>
            <w:pPr>
              <w:spacing w:after="80"/>
            </w:pPr>
            <w:r>
              <w:rPr>
                <w:rFonts w:ascii="Arial" w:cs="Arial" w:eastAsia="Arial" w:hAnsi="Arial"/>
                <w:b/>
                <w:bCs/>
                <w:color w:val="1B4F72"/>
                <w:sz w:val="22"/>
                <w:szCs w:val="22"/>
              </w:rPr>
              <w:t xml:space="preserve">Belangrijk voor de VME</w:t>
            </w:r>
          </w:p>
          <w:p>
            <w:r>
              <w:rPr>
                <w:rFonts w:ascii="Arial" w:cs="Arial" w:eastAsia="Arial" w:hAnsi="Arial"/>
                <w:sz w:val="20"/>
                <w:szCs w:val="20"/>
              </w:rPr>
              <w:t xml:space="preserve">De basispremie via de VME (forfaitair per m²) blijft beschikbaar ongeacht de inkomenscategorie van individuele eigenaars. Het is uitsluitend de aanvullende individuele premie die beperkt is tot eigenaars in categorie 3 en 4. In een gebouw met 100+ eigenaars zal een deel van de eigenaars in hogere categorieën vallen en geen individuele aanvulling ontvangen, maar het collectieve deel blijft behouden.</w:t>
            </w:r>
          </w:p>
        </w:tc>
      </w:tr>
    </w:tbl>
    <w:p>
      <w:pPr>
        <w:pStyle w:val="Heading2"/>
      </w:pPr>
      <w:r>
        <w:t xml:space="preserve">4.3 Technische voorwaarden</w:t>
      </w:r>
    </w:p>
    <w:p>
      <w:pPr>
        <w:spacing w:after="160"/>
        <w:jc w:val="both"/>
      </w:pPr>
      <w:r>
        <w:rPr>
          <w:rFonts w:ascii="Arial" w:cs="Arial" w:eastAsia="Arial" w:hAnsi="Arial"/>
          <w:sz w:val="22"/>
          <w:szCs w:val="22"/>
        </w:rPr>
        <w:t xml:space="preserve">Om in aanmerking te komen voor Mijn VerbouwPremie voor gevelisolatie (categorie ‘buitenmuur’) moet aan de volgende technische eisen worden voldaan:</w:t>
      </w:r>
    </w:p>
    <w:p>
      <w:pPr>
        <w:spacing w:after="160"/>
        <w:jc w:val="both"/>
      </w:pPr>
      <w:r>
        <w:rPr>
          <w:rFonts w:ascii="Arial" w:cs="Arial" w:eastAsia="Arial" w:hAnsi="Arial"/>
          <w:b/>
          <w:bCs/>
          <w:sz w:val="22"/>
          <w:szCs w:val="22"/>
        </w:rPr>
        <w:t xml:space="preserve">Rd-waarde isolatie: </w:t>
      </w:r>
      <w:r>
        <w:rPr>
          <w:rFonts w:ascii="Arial" w:cs="Arial" w:eastAsia="Arial" w:hAnsi="Arial"/>
          <w:sz w:val="22"/>
          <w:szCs w:val="22"/>
        </w:rPr>
        <w:t xml:space="preserve">de geplaatste gevelisolatie moet een minimale warmteweerstand (Rd-waarde) van 2 tot 3 m²K/W bereiken, afhankelijk van de toepassing (binnenisolatie, buitenisolatie of spouwmuurisolatie).</w:t>
      </w:r>
    </w:p>
    <w:p>
      <w:pPr>
        <w:spacing w:after="160"/>
        <w:jc w:val="both"/>
      </w:pPr>
      <w:r>
        <w:rPr>
          <w:rFonts w:ascii="Arial" w:cs="Arial" w:eastAsia="Arial" w:hAnsi="Arial"/>
          <w:b/>
          <w:bCs/>
          <w:sz w:val="22"/>
          <w:szCs w:val="22"/>
        </w:rPr>
        <w:t xml:space="preserve">Lambdawaarde spouwmuurisolatie: </w:t>
      </w:r>
      <w:r>
        <w:rPr>
          <w:rFonts w:ascii="Arial" w:cs="Arial" w:eastAsia="Arial" w:hAnsi="Arial"/>
          <w:sz w:val="22"/>
          <w:szCs w:val="22"/>
        </w:rPr>
        <w:t xml:space="preserve">bij spouwmuurisolatie geldt een maximale lambdawaarde van 0,065 W/m.K.</w:t>
      </w:r>
    </w:p>
    <w:p>
      <w:pPr>
        <w:spacing w:after="160"/>
        <w:jc w:val="both"/>
      </w:pPr>
      <w:r>
        <w:rPr>
          <w:rFonts w:ascii="Arial" w:cs="Arial" w:eastAsia="Arial" w:hAnsi="Arial"/>
          <w:b/>
          <w:bCs/>
          <w:sz w:val="22"/>
          <w:szCs w:val="22"/>
        </w:rPr>
        <w:t xml:space="preserve">Isolatie is verplicht: </w:t>
      </w:r>
      <w:r>
        <w:rPr>
          <w:rFonts w:ascii="Arial" w:cs="Arial" w:eastAsia="Arial" w:hAnsi="Arial"/>
          <w:sz w:val="22"/>
          <w:szCs w:val="22"/>
        </w:rPr>
        <w:t xml:space="preserve">vanaf 1 maart 2026 moet elke premieaanvraag voor buitenmuurwerken gecombineerd zijn met isolatie. Louter cosmetische werken of structurele herstellingen zonder isolatie komen niet meer in aanmerking.</w:t>
      </w:r>
    </w:p>
    <w:p>
      <w:pPr>
        <w:spacing w:after="160"/>
        <w:jc w:val="both"/>
      </w:pPr>
      <w:r>
        <w:rPr>
          <w:rFonts w:ascii="Arial" w:cs="Arial" w:eastAsia="Arial" w:hAnsi="Arial"/>
          <w:b/>
          <w:bCs/>
          <w:sz w:val="22"/>
          <w:szCs w:val="22"/>
        </w:rPr>
        <w:t xml:space="preserve">Erkende aannemer: </w:t>
      </w:r>
      <w:r>
        <w:rPr>
          <w:rFonts w:ascii="Arial" w:cs="Arial" w:eastAsia="Arial" w:hAnsi="Arial"/>
          <w:sz w:val="22"/>
          <w:szCs w:val="22"/>
        </w:rPr>
        <w:t xml:space="preserve">alle werken moeten worden uitgevoerd door een erkende aannemer.</w:t>
      </w:r>
    </w:p>
    <w:p>
      <w:pPr>
        <w:pStyle w:val="Heading2"/>
      </w:pPr>
      <w:r>
        <w:t xml:space="preserve">4.4 Subsidieerbare werken (in combinatie met isolatie)</w:t>
      </w:r>
    </w:p>
    <w:p>
      <w:pPr>
        <w:spacing w:after="160"/>
        <w:jc w:val="both"/>
      </w:pPr>
      <w:r>
        <w:rPr>
          <w:rFonts w:ascii="Arial" w:cs="Arial" w:eastAsia="Arial" w:hAnsi="Arial"/>
          <w:sz w:val="22"/>
          <w:szCs w:val="22"/>
        </w:rPr>
        <w:t xml:space="preserve">Naast de isolatie zelf komen de volgende gevelwerken in aanmerking voor de premie, op voorwaarde dat ze gecombineerd worden met isolatie die voldoet aan de vereiste Rd-waarde: afbraak en vervanging van buitenmuren met nieuwe isolatie; aanbrengen van bepleistering aan de binnenzijde samen met binnenisolatie; afwerking van buitenmuren met gevelsteen, gevelbekleding of gevelbepleistering in combinatie met nieuwe isolatie; verwijderen van oude spouwisolatie bij plaatsing van nieuwe spouwmuurisolatie; en behandeling van muren tegen opstijgend vocht.</w:t>
      </w:r>
    </w:p>
    <w:p>
      <w:pPr>
        <w:pStyle w:val="Heading2"/>
      </w:pPr>
      <w:r>
        <w:t xml:space="preserve">4.5 Aanvraagprocedure</w:t>
      </w:r>
    </w:p>
    <w:p>
      <w:pPr>
        <w:spacing w:after="160"/>
        <w:jc w:val="both"/>
      </w:pPr>
      <w:r>
        <w:rPr>
          <w:rFonts w:ascii="Arial" w:cs="Arial" w:eastAsia="Arial" w:hAnsi="Arial"/>
          <w:sz w:val="22"/>
          <w:szCs w:val="22"/>
        </w:rPr>
        <w:t xml:space="preserve">De aanvraag voor Mijn VerbouwPremie verloopt digitaal via het Mijn VerbouwLoket (vlaanderen.be). Voor werken aan de gemeenschappelijke delen dient de syndicus of een gemachtigde vertegenwoordiger de aanvraag in namens de VME. De aanvraag moet worden ingediend uiterlijk twee jaar na de datum van de laatste factuur. Benodigde documenten zijn onder meer de eindfacturen en het attest van de erkende aannemer.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
              <w:left w:val="single" w:color="2E86C1" w:sz="6"/>
              <w:bottom w:val="single" w:color="2E86C1" w:sz="1"/>
              <w:right w:val="single" w:color="2E86C1" w:sz="1"/>
            </w:tcBorders>
            <w:shd w:fill="EBF5FB" w:val="clear"/>
            <w:tcMar>
              <w:top w:type="dxa" w:w="120"/>
              <w:left w:type="dxa" w:w="200"/>
              <w:bottom w:type="dxa" w:w="120"/>
              <w:right w:type="dxa" w:w="200"/>
            </w:tcMar>
          </w:tcPr>
          <w:p>
            <w:pPr>
              <w:spacing w:after="80"/>
            </w:pPr>
            <w:r>
              <w:rPr>
                <w:rFonts w:ascii="Arial" w:cs="Arial" w:eastAsia="Arial" w:hAnsi="Arial"/>
                <w:b/>
                <w:bCs/>
                <w:color w:val="1B4F72"/>
                <w:sz w:val="22"/>
                <w:szCs w:val="22"/>
              </w:rPr>
              <w:t xml:space="preserve">Vereiste: geregistreerde syndicus</w:t>
            </w:r>
          </w:p>
          <w:p>
            <w:r>
              <w:rPr>
                <w:rFonts w:ascii="Arial" w:cs="Arial" w:eastAsia="Arial" w:hAnsi="Arial"/>
                <w:sz w:val="20"/>
                <w:szCs w:val="20"/>
              </w:rPr>
              <w:t xml:space="preserve">Bij het aanvragen van verbouwpremies voor de gemeenschappelijke delen moet de VME een geregistreerde syndicus hebben. De syndicus treedt op als vertegenwoordiger en contactpersoon bij de premieaanvraag. Zorg dat de VME administratief in orde is om geen premies mis te lopen.</w:t>
            </w:r>
          </w:p>
        </w:tc>
      </w:tr>
    </w:tbl>
    <w:p>
      <w:r>
        <w:br w:type="page"/>
      </w:r>
    </w:p>
    <w:p>
      <w:pPr>
        <w:pStyle w:val="Heading1"/>
      </w:pPr>
      <w:r>
        <w:t xml:space="preserve">5. Bijkomende Financieringsmogelijkheden</w:t>
      </w:r>
    </w:p>
    <w:p>
      <w:pPr>
        <w:pStyle w:val="Heading2"/>
      </w:pPr>
      <w:r>
        <w:t xml:space="preserve">5.1 Mijn EPC-labelpremie (aflopend)</w:t>
      </w:r>
    </w:p>
    <w:p>
      <w:pPr>
        <w:spacing w:after="160"/>
        <w:jc w:val="both"/>
      </w:pPr>
      <w:r>
        <w:rPr>
          <w:rFonts w:ascii="Arial" w:cs="Arial" w:eastAsia="Arial" w:hAnsi="Arial"/>
          <w:sz w:val="22"/>
          <w:szCs w:val="22"/>
        </w:rPr>
        <w:t xml:space="preserve">De Mijn EPC-labelpremie bood een extra premie wanneer het EPC-label van een woning of appartement na renovatie significant verbeterde. Voor appartementen bedroeg deze premie €2.000 tot €5.250, afhankelijk van de inkomenscategorie en het behaalde label.</w:t>
      </w:r>
    </w:p>
    <w:p>
      <w:pPr>
        <w:spacing w:after="160"/>
        <w:jc w:val="both"/>
      </w:pPr>
      <w:r>
        <w:rPr>
          <w:rFonts w:ascii="Arial" w:cs="Arial" w:eastAsia="Arial" w:hAnsi="Arial"/>
          <w:b/>
          <w:bCs/>
          <w:color w:val="C0392B"/>
          <w:sz w:val="22"/>
          <w:szCs w:val="22"/>
        </w:rPr>
        <w:t xml:space="preserve">Let op: </w:t>
      </w:r>
      <w:r>
        <w:rPr>
          <w:rFonts w:ascii="Arial" w:cs="Arial" w:eastAsia="Arial" w:hAnsi="Arial"/>
          <w:sz w:val="22"/>
          <w:szCs w:val="22"/>
        </w:rPr>
        <w:t xml:space="preserve">deze premie wordt definitief stopgezet op 1 juli 2026. Een aanvraag is alleen mogelijk als het EPC-attest van vóór de renovatie uiterlijk op 31 december 2025 is opgemaakt. Gezien de omvang van het project (gevelisolatie van 13 verdiepingen) is het onwaarschijnlijk dat de werken voldoende gevorderd zijn om hier nog van te profiteren. Deze premie is individueel en kan niet als VME worden aangevraagd voor de gemeenschappelijke delen.</w:t>
      </w:r>
    </w:p>
    <w:p>
      <w:pPr>
        <w:pStyle w:val="Heading2"/>
      </w:pPr>
      <w:r>
        <w:t xml:space="preserve">5.2 Mijn VerbouwLening</w:t>
      </w:r>
    </w:p>
    <w:p>
      <w:pPr>
        <w:spacing w:after="160"/>
        <w:jc w:val="both"/>
      </w:pPr>
      <w:r>
        <w:rPr>
          <w:rFonts w:ascii="Arial" w:cs="Arial" w:eastAsia="Arial" w:hAnsi="Arial"/>
          <w:sz w:val="22"/>
          <w:szCs w:val="22"/>
        </w:rPr>
        <w:t xml:space="preserve">Individuele eigenaars in inkomenscategorie 3 en 4 kunnen een voordelige lening afsluiten van maximaal €60.000, af te betalen over maximaal 25 jaar. De woning of het appartement moet minstens 15 jaar oud zijn, wat voor dit gebouw (bouwjaar 1971) vanzelfsprekend het geval is. De Vlaamse overheid voorziet extra budget (circa €1,5 miljard) voor (bijna) renteloze leningen, waarbij de korting op de rente varieert naar inkomenscategorie.</w:t>
      </w:r>
    </w:p>
    <w:p>
      <w:pPr>
        <w:spacing w:after="160"/>
        <w:jc w:val="both"/>
      </w:pPr>
      <w:r>
        <w:rPr>
          <w:rFonts w:ascii="Arial" w:cs="Arial" w:eastAsia="Arial" w:hAnsi="Arial"/>
          <w:sz w:val="22"/>
          <w:szCs w:val="22"/>
        </w:rPr>
        <w:t xml:space="preserve">Hoewel dit een individueel instrument is en niet door de VME als geheel kan worden aangevraagd, kan het een belangrijk argument zijn om individuele eigenaars over de streep te trekken bij de stemming op de Algemene Vergadering.</w:t>
      </w:r>
    </w:p>
    <w:p>
      <w:pPr>
        <w:pStyle w:val="Heading2"/>
      </w:pPr>
      <w:r>
        <w:t xml:space="preserve">5.3 Verlaagd btw-tarief van 6%</w:t>
      </w:r>
    </w:p>
    <w:p>
      <w:pPr>
        <w:spacing w:after="160"/>
        <w:jc w:val="both"/>
      </w:pPr>
      <w:r>
        <w:rPr>
          <w:rFonts w:ascii="Arial" w:cs="Arial" w:eastAsia="Arial" w:hAnsi="Arial"/>
          <w:sz w:val="22"/>
          <w:szCs w:val="22"/>
        </w:rPr>
        <w:t xml:space="preserve">Renovatiewerken aan woningen ouder dan 10 jaar komen in aanmerking voor het verlaagde btw-tarief van 6% in plaats van 21%. Dit geldt op voorwaarde dat de werken door een aannemer worden uitgevoerd en dat zowel de levering als de plaatsing van materialen door dezelfde aannemer gebeuren.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C1" w:sz="1"/>
              <w:left w:val="single" w:color="2E86C1" w:sz="6"/>
              <w:bottom w:val="single" w:color="2E86C1" w:sz="1"/>
              <w:right w:val="single" w:color="2E86C1" w:sz="1"/>
            </w:tcBorders>
            <w:shd w:fill="EBF5FB" w:val="clear"/>
            <w:tcMar>
              <w:top w:type="dxa" w:w="120"/>
              <w:left w:type="dxa" w:w="200"/>
              <w:bottom w:type="dxa" w:w="120"/>
              <w:right w:type="dxa" w:w="200"/>
            </w:tcMar>
          </w:tcPr>
          <w:p>
            <w:pPr>
              <w:spacing w:after="80"/>
            </w:pPr>
            <w:r>
              <w:rPr>
                <w:rFonts w:ascii="Arial" w:cs="Arial" w:eastAsia="Arial" w:hAnsi="Arial"/>
                <w:b/>
                <w:bCs/>
                <w:color w:val="1B4F72"/>
                <w:sz w:val="22"/>
                <w:szCs w:val="22"/>
              </w:rPr>
              <w:t xml:space="preserve">Financiële impact btw-verlaging</w:t>
            </w:r>
          </w:p>
          <w:p>
            <w:r>
              <w:rPr>
                <w:rFonts w:ascii="Arial" w:cs="Arial" w:eastAsia="Arial" w:hAnsi="Arial"/>
                <w:sz w:val="20"/>
                <w:szCs w:val="20"/>
              </w:rPr>
              <w:t xml:space="preserve">Bij een gevelisolatieproject van deze omvang (13 verdiepingen, 100+ wooneenheden) kan de totale investeringskost oplopen tot meerdere miljoenen euro. Het verschil van 15% btw (6% in plaats van 21%) vertegenwoordigt daarmee een aanzienlijk financieel voordeel voor de VME en de individuele eigenaars.</w:t>
            </w:r>
          </w:p>
        </w:tc>
      </w:tr>
    </w:tbl>
    <w:p>
      <w:pPr>
        <w:pStyle w:val="Heading2"/>
      </w:pPr>
      <w:r>
        <w:t xml:space="preserve">5.4 Gemeentelijke en stedelijke premies</w:t>
      </w:r>
    </w:p>
    <w:p>
      <w:pPr>
        <w:spacing w:after="160"/>
        <w:jc w:val="both"/>
      </w:pPr>
      <w:r>
        <w:rPr>
          <w:rFonts w:ascii="Arial" w:cs="Arial" w:eastAsia="Arial" w:hAnsi="Arial"/>
          <w:sz w:val="22"/>
          <w:szCs w:val="22"/>
        </w:rPr>
        <w:t xml:space="preserve">Diverse Vlaamse steden en gemeenten bieden aanvullende premies voor energetische renovatie van appartementsgebouwen. Deze gemeentelijke premies zijn cumuleerbaar met de Vlaamse premies. Het aanbod verschilt per gemeente. Het is aan te raden om via Premiezoeker.be of de website van de betreffende gemeente na te gaan welke lokale ondersteuning beschikbaar is.</w:t>
      </w:r>
    </w:p>
    <w:p>
      <w:pPr>
        <w:pStyle w:val="Heading2"/>
      </w:pPr>
      <w:r>
        <w:t xml:space="preserve">5.5 EU Social Climate Fund (2026–2032)</w:t>
      </w:r>
    </w:p>
    <w:p>
      <w:pPr>
        <w:spacing w:after="160"/>
        <w:jc w:val="both"/>
      </w:pPr>
      <w:r>
        <w:rPr>
          <w:rFonts w:ascii="Arial" w:cs="Arial" w:eastAsia="Arial" w:hAnsi="Arial"/>
          <w:sz w:val="22"/>
          <w:szCs w:val="22"/>
        </w:rPr>
        <w:t xml:space="preserve">Op Europees niveau wordt het nieuwe Social Climate Fund (Sociaal Klimaatfonds) operationeel vanaf 2026. Dit fonds mobiliseert minstens €86,7 miljard voor de periode 2026–2032, gefinancierd via de opbrengsten van het nieuwe Europese emissiehandelssysteem voor gebouwen en transport (ETS2) en nationale cofinanciering van de lidstaten.</w:t>
      </w:r>
    </w:p>
    <w:p>
      <w:pPr>
        <w:spacing w:after="160"/>
        <w:jc w:val="both"/>
      </w:pPr>
      <w:r>
        <w:rPr>
          <w:rFonts w:ascii="Arial" w:cs="Arial" w:eastAsia="Arial" w:hAnsi="Arial"/>
          <w:sz w:val="22"/>
          <w:szCs w:val="22"/>
        </w:rPr>
        <w:t xml:space="preserve">Het fonds ondersteunt investeringen in energie-efficiëntie en renovatie van gebouwen, waaronder isolatie, warmtepompen en zonnepanelen, met bijzondere focus op kwetsbare huishoudens. De precieze vertaling naar Vlaamse programma’s is nog in ontwikkeling via het Belgische Sociale Klimaatplan, maar dit zal de komende jaren extra middelen beschikbaar stellen bovenop de bestaande premies.</w:t>
      </w:r>
    </w:p>
    <w:p>
      <w:r>
        <w:br w:type="page"/>
      </w:r>
    </w:p>
    <w:p>
      <w:pPr>
        <w:pStyle w:val="Heading1"/>
      </w:pPr>
      <w:r>
        <w:t xml:space="preserve">6. Aanbevolen Stappenplan</w:t>
      </w:r>
    </w:p>
    <w:p>
      <w:pPr>
        <w:spacing w:after="160"/>
        <w:jc w:val="both"/>
      </w:pPr>
      <w:r>
        <w:rPr>
          <w:rFonts w:ascii="Arial" w:cs="Arial" w:eastAsia="Arial" w:hAnsi="Arial"/>
          <w:sz w:val="22"/>
          <w:szCs w:val="22"/>
        </w:rPr>
        <w:t xml:space="preserve">Op basis van de beschikbare financieringsmogelijkheden en de specifieke kenmerken van het gebouw wordt het volgende stappenplan aanbevolen:</w:t>
      </w:r>
    </w:p>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B4F72" w:val="clear"/>
            <w:tcMar>
              <w:top w:type="dxa" w:w="120"/>
              <w:left w:type="dxa" w:w="120"/>
              <w:bottom w:type="dxa" w:w="120"/>
              <w:right w:type="dxa" w:w="120"/>
            </w:tcMar>
            <w:vAlign w:val="center"/>
          </w:tcPr>
          <w:p>
            <w:pPr>
              <w:jc w:val="center"/>
            </w:pPr>
            <w:r>
              <w:rPr>
                <w:rFonts w:ascii="Arial" w:cs="Arial" w:eastAsia="Arial" w:hAnsi="Arial"/>
                <w:b/>
                <w:bCs/>
                <w:color w:val="FFFFFF"/>
                <w:sz w:val="18"/>
                <w:szCs w:val="18"/>
              </w:rPr>
              <w:t xml:space="preserve">STAP 1</w:t>
            </w:r>
          </w:p>
        </w:tc>
        <w:tc>
          <w:tcPr>
            <w:tcW w:type="dxa" w:w="8226"/>
            <w:tcBorders>
              <w:top w:val="none" w:color="FFFFFF" w:sz="0"/>
              <w:left w:val="none" w:color="FFFFFF" w:sz="0"/>
              <w:bottom w:val="none" w:color="FFFFFF" w:sz="0"/>
              <w:right w:val="none" w:color="FFFFFF" w:sz="0"/>
            </w:tcBorders>
            <w:shd w:fill="EBF5FB"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VME administratief in orde brengen</w:t>
            </w:r>
          </w:p>
          <w:p>
            <w:r>
              <w:rPr>
                <w:rFonts w:ascii="Arial" w:cs="Arial" w:eastAsia="Arial" w:hAnsi="Arial"/>
                <w:sz w:val="20"/>
                <w:szCs w:val="20"/>
              </w:rPr>
              <w:t xml:space="preserve">Zorg voor een geregistreerde syndicus — dit is een absolute voorwaarde voor elke premieaanvraag voor gemeenschappelijke delen.</w:t>
            </w:r>
          </w:p>
        </w:tc>
      </w:tr>
    </w:tbl>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B4F72" w:val="clear"/>
            <w:tcMar>
              <w:top w:type="dxa" w:w="120"/>
              <w:left w:type="dxa" w:w="120"/>
              <w:bottom w:type="dxa" w:w="120"/>
              <w:right w:type="dxa" w:w="120"/>
            </w:tcMar>
            <w:vAlign w:val="center"/>
          </w:tcPr>
          <w:p>
            <w:pPr>
              <w:jc w:val="center"/>
            </w:pPr>
            <w:r>
              <w:rPr>
                <w:rFonts w:ascii="Arial" w:cs="Arial" w:eastAsia="Arial" w:hAnsi="Arial"/>
                <w:b/>
                <w:bCs/>
                <w:color w:val="FFFFFF"/>
                <w:sz w:val="18"/>
                <w:szCs w:val="18"/>
              </w:rPr>
              <w:t xml:space="preserve">STAP 2</w:t>
            </w:r>
          </w:p>
        </w:tc>
        <w:tc>
          <w:tcPr>
            <w:tcW w:type="dxa" w:w="8226"/>
            <w:tcBorders>
              <w:top w:val="none" w:color="FFFFFF" w:sz="0"/>
              <w:left w:val="none" w:color="FFFFFF" w:sz="0"/>
              <w:bottom w:val="none" w:color="FFFFFF" w:sz="0"/>
              <w:right w:val="none" w:color="FFFFFF" w:sz="0"/>
            </w:tcBorders>
            <w:shd w:fill="EBF5FB"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Renovatiemasterplan laten opstellen</w:t>
            </w:r>
          </w:p>
          <w:p>
            <w:r>
              <w:rPr>
                <w:rFonts w:ascii="Arial" w:cs="Arial" w:eastAsia="Arial" w:hAnsi="Arial"/>
                <w:sz w:val="20"/>
                <w:szCs w:val="20"/>
              </w:rPr>
              <w:t xml:space="preserve">Selecteer een VEKA-erkend studiebureau. De subsidie van 60% (max. €12.000) wordt door het bureau rechtstreeks bij VEKA aangevraagd. Vraag tegelijkertijd Mijn VerbouwBegeleiding aan voor een gratis renovatiecoach.</w:t>
            </w:r>
          </w:p>
        </w:tc>
      </w:tr>
    </w:tbl>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B4F72" w:val="clear"/>
            <w:tcMar>
              <w:top w:type="dxa" w:w="120"/>
              <w:left w:type="dxa" w:w="120"/>
              <w:bottom w:type="dxa" w:w="120"/>
              <w:right w:type="dxa" w:w="120"/>
            </w:tcMar>
            <w:vAlign w:val="center"/>
          </w:tcPr>
          <w:p>
            <w:pPr>
              <w:jc w:val="center"/>
            </w:pPr>
            <w:r>
              <w:rPr>
                <w:rFonts w:ascii="Arial" w:cs="Arial" w:eastAsia="Arial" w:hAnsi="Arial"/>
                <w:b/>
                <w:bCs/>
                <w:color w:val="FFFFFF"/>
                <w:sz w:val="18"/>
                <w:szCs w:val="18"/>
              </w:rPr>
              <w:t xml:space="preserve">STAP 3</w:t>
            </w:r>
          </w:p>
        </w:tc>
        <w:tc>
          <w:tcPr>
            <w:tcW w:type="dxa" w:w="8226"/>
            <w:tcBorders>
              <w:top w:val="none" w:color="FFFFFF" w:sz="0"/>
              <w:left w:val="none" w:color="FFFFFF" w:sz="0"/>
              <w:bottom w:val="none" w:color="FFFFFF" w:sz="0"/>
              <w:right w:val="none" w:color="FFFFFF" w:sz="0"/>
            </w:tcBorders>
            <w:shd w:fill="EBF5FB"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Gemeentelijke premies inventariseren</w:t>
            </w:r>
          </w:p>
          <w:p>
            <w:r>
              <w:rPr>
                <w:rFonts w:ascii="Arial" w:cs="Arial" w:eastAsia="Arial" w:hAnsi="Arial"/>
                <w:sz w:val="20"/>
                <w:szCs w:val="20"/>
              </w:rPr>
              <w:t xml:space="preserve">Raadpleeg Premiezoeker.be en de website van de gemeente om te inventariseren welke lokale premies en ondersteuning beschikbaar zijn. Deze zijn cumuleerbaar met de Vlaamse premies.</w:t>
            </w:r>
          </w:p>
        </w:tc>
      </w:tr>
    </w:tbl>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B4F72" w:val="clear"/>
            <w:tcMar>
              <w:top w:type="dxa" w:w="120"/>
              <w:left w:type="dxa" w:w="120"/>
              <w:bottom w:type="dxa" w:w="120"/>
              <w:right w:type="dxa" w:w="120"/>
            </w:tcMar>
            <w:vAlign w:val="center"/>
          </w:tcPr>
          <w:p>
            <w:pPr>
              <w:jc w:val="center"/>
            </w:pPr>
            <w:r>
              <w:rPr>
                <w:rFonts w:ascii="Arial" w:cs="Arial" w:eastAsia="Arial" w:hAnsi="Arial"/>
                <w:b/>
                <w:bCs/>
                <w:color w:val="FFFFFF"/>
                <w:sz w:val="18"/>
                <w:szCs w:val="18"/>
              </w:rPr>
              <w:t xml:space="preserve">STAP 4</w:t>
            </w:r>
          </w:p>
        </w:tc>
        <w:tc>
          <w:tcPr>
            <w:tcW w:type="dxa" w:w="8226"/>
            <w:tcBorders>
              <w:top w:val="none" w:color="FFFFFF" w:sz="0"/>
              <w:left w:val="none" w:color="FFFFFF" w:sz="0"/>
              <w:bottom w:val="none" w:color="FFFFFF" w:sz="0"/>
              <w:right w:val="none" w:color="FFFFFF" w:sz="0"/>
            </w:tcBorders>
            <w:shd w:fill="EBF5FB"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Goedkeuring op de Algemene Vergadering</w:t>
            </w:r>
          </w:p>
          <w:p>
            <w:r>
              <w:rPr>
                <w:rFonts w:ascii="Arial" w:cs="Arial" w:eastAsia="Arial" w:hAnsi="Arial"/>
                <w:sz w:val="20"/>
                <w:szCs w:val="20"/>
              </w:rPr>
              <w:t xml:space="preserve">Leg het renovatiemasterplan, het premie-overzicht en het financieringsplan voor aan de Algemene Vergadering. Het masterplan biedt de objectieve onderbouwing die nodig is voor een geïnformeerde beslissing.</w:t>
            </w:r>
          </w:p>
        </w:tc>
      </w:tr>
    </w:tbl>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800"/>
        <w:gridCol w:w="8226"/>
      </w:tblGrid>
      <w:tr>
        <w:tc>
          <w:tcPr>
            <w:tcW w:type="dxa" w:w="800"/>
            <w:tcBorders>
              <w:top w:val="none" w:color="FFFFFF" w:sz="0"/>
              <w:left w:val="none" w:color="FFFFFF" w:sz="0"/>
              <w:bottom w:val="none" w:color="FFFFFF" w:sz="0"/>
              <w:right w:val="none" w:color="FFFFFF" w:sz="0"/>
            </w:tcBorders>
            <w:shd w:fill="1B4F72" w:val="clear"/>
            <w:tcMar>
              <w:top w:type="dxa" w:w="120"/>
              <w:left w:type="dxa" w:w="120"/>
              <w:bottom w:type="dxa" w:w="120"/>
              <w:right w:type="dxa" w:w="120"/>
            </w:tcMar>
            <w:vAlign w:val="center"/>
          </w:tcPr>
          <w:p>
            <w:pPr>
              <w:jc w:val="center"/>
            </w:pPr>
            <w:r>
              <w:rPr>
                <w:rFonts w:ascii="Arial" w:cs="Arial" w:eastAsia="Arial" w:hAnsi="Arial"/>
                <w:b/>
                <w:bCs/>
                <w:color w:val="FFFFFF"/>
                <w:sz w:val="18"/>
                <w:szCs w:val="18"/>
              </w:rPr>
              <w:t xml:space="preserve">STAP 5</w:t>
            </w:r>
          </w:p>
        </w:tc>
        <w:tc>
          <w:tcPr>
            <w:tcW w:type="dxa" w:w="8226"/>
            <w:tcBorders>
              <w:top w:val="none" w:color="FFFFFF" w:sz="0"/>
              <w:left w:val="none" w:color="FFFFFF" w:sz="0"/>
              <w:bottom w:val="none" w:color="FFFFFF" w:sz="0"/>
              <w:right w:val="none" w:color="FFFFFF" w:sz="0"/>
            </w:tcBorders>
            <w:shd w:fill="EBF5FB" w:val="clear"/>
            <w:tcMar>
              <w:top w:type="dxa" w:w="120"/>
              <w:left w:type="dxa" w:w="200"/>
              <w:bottom w:type="dxa" w:w="120"/>
              <w:right w:type="dxa" w:w="200"/>
            </w:tcMar>
          </w:tcPr>
          <w:p>
            <w:pPr>
              <w:spacing w:after="60"/>
            </w:pPr>
            <w:r>
              <w:rPr>
                <w:rFonts w:ascii="Arial" w:cs="Arial" w:eastAsia="Arial" w:hAnsi="Arial"/>
                <w:b/>
                <w:bCs/>
                <w:color w:val="1B4F72"/>
                <w:sz w:val="22"/>
                <w:szCs w:val="22"/>
              </w:rPr>
              <w:t xml:space="preserve">Uitvoering en premieaanvraag</w:t>
            </w:r>
          </w:p>
          <w:p>
            <w:r>
              <w:rPr>
                <w:rFonts w:ascii="Arial" w:cs="Arial" w:eastAsia="Arial" w:hAnsi="Arial"/>
                <w:sz w:val="20"/>
                <w:szCs w:val="20"/>
              </w:rPr>
              <w:t xml:space="preserve">Na uitvoering van de werken door een erkende aannemer: de VME/syndicus vraagt de basispremie aan via Mijn VerbouwLoket. Vervolgens vragen individuele eigenaars (cat. 3 en 4) hun aanvullende premie aan. Deadline: uiterlijk 2 jaar na de laatste factuur.</w:t>
            </w:r>
          </w:p>
        </w:tc>
      </w:tr>
    </w:tbl>
    <w:p>
      <w:r>
        <w:br w:type="page"/>
      </w:r>
    </w:p>
    <w:p>
      <w:pPr>
        <w:pStyle w:val="Heading1"/>
      </w:pPr>
      <w:r>
        <w:t xml:space="preserve">7. Nuttige Bronnen en Contactpunten</w:t>
      </w:r>
    </w:p>
    <w:p>
      <w:pPr>
        <w:spacing w:after="160"/>
        <w:jc w:val="both"/>
      </w:pPr>
      <w:r>
        <w:rPr>
          <w:rFonts w:ascii="Arial" w:cs="Arial" w:eastAsia="Arial" w:hAnsi="Arial"/>
          <w:sz w:val="22"/>
          <w:szCs w:val="22"/>
        </w:rPr>
        <w:t xml:space="preserve">Hieronder vindt u de belangrijkste websites en contactpunten voor meer informatie en het indienen van aanvragen.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Onderwerp</w:t>
            </w:r>
          </w:p>
        </w:tc>
        <w:tc>
          <w:tcPr>
            <w:tcW w:type="dxa" w:w="5526"/>
            <w:tcBorders>
              <w:top w:val="single" w:color="CCCCCC" w:sz="1"/>
              <w:left w:val="single" w:color="CCCCCC" w:sz="1"/>
              <w:bottom w:val="single" w:color="CCCCCC" w:sz="1"/>
              <w:right w:val="single" w:color="CCCCCC" w:sz="1"/>
            </w:tcBorders>
            <w:shd w:fill="1B4F72" w:val="clear"/>
            <w:tcMar>
              <w:top w:type="dxa" w:w="80"/>
              <w:left w:type="dxa" w:w="120"/>
              <w:bottom w:type="dxa" w:w="80"/>
              <w:right w:type="dxa" w:w="120"/>
            </w:tcMar>
            <w:vAlign w:val="center"/>
          </w:tcPr>
          <w:p>
            <w:r>
              <w:rPr>
                <w:rFonts w:ascii="Arial" w:cs="Arial" w:eastAsia="Arial" w:hAnsi="Arial"/>
                <w:b/>
                <w:bCs/>
                <w:color w:val="FFFFFF"/>
                <w:sz w:val="20"/>
                <w:szCs w:val="20"/>
              </w:rPr>
              <w:t xml:space="preserve">Website / Contactpunt</w:t>
            </w:r>
          </w:p>
        </w:tc>
      </w:tr>
      <w:tr>
        <w:tc>
          <w:tcPr>
            <w:tcW w:type="dxa" w:w="35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 VerbouwPremie aanvragen</w:t>
            </w:r>
          </w:p>
        </w:tc>
        <w:tc>
          <w:tcPr>
            <w:tcW w:type="dxa" w:w="5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mijnverbouwloket.be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Premiezoeker (alle premies)</w:t>
            </w:r>
          </w:p>
        </w:tc>
        <w:tc>
          <w:tcPr>
            <w:tcW w:type="dxa" w:w="5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premiezoeker.be</w:t>
            </w:r>
          </w:p>
        </w:tc>
      </w:tr>
      <w:tr>
        <w:tc>
          <w:tcPr>
            <w:tcW w:type="dxa" w:w="35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 VerbouwBegeleiding</w:t>
            </w:r>
          </w:p>
        </w:tc>
        <w:tc>
          <w:tcPr>
            <w:tcW w:type="dxa" w:w="5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energiesparen.be/mijnverbouwbegeleiding</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Renovatiemasterplan (VEKA)</w:t>
            </w:r>
          </w:p>
        </w:tc>
        <w:tc>
          <w:tcPr>
            <w:tcW w:type="dxa" w:w="5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energiesparen.be/renovatiemasterplan</w:t>
            </w:r>
          </w:p>
        </w:tc>
      </w:tr>
      <w:tr>
        <w:tc>
          <w:tcPr>
            <w:tcW w:type="dxa" w:w="35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Mijn VerbouwLening</w:t>
            </w:r>
          </w:p>
        </w:tc>
        <w:tc>
          <w:tcPr>
            <w:tcW w:type="dxa" w:w="5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energiesparen.be/mijnverbouwlening</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Vlaamse overheid — premies renovatie</w:t>
            </w:r>
          </w:p>
        </w:tc>
        <w:tc>
          <w:tcPr>
            <w:tcW w:type="dxa" w:w="5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vlaanderen.be/premies-voor-renovatie</w:t>
            </w:r>
          </w:p>
        </w:tc>
      </w:tr>
      <w:tr>
        <w:tc>
          <w:tcPr>
            <w:tcW w:type="dxa" w:w="35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EPC-labelpremie</w:t>
            </w:r>
          </w:p>
        </w:tc>
        <w:tc>
          <w:tcPr>
            <w:tcW w:type="dxa" w:w="5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vlaanderen.be/mijn-epc-labelpremie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Energiehuizen (gratis advies)</w:t>
            </w:r>
          </w:p>
        </w:tc>
        <w:tc>
          <w:tcPr>
            <w:tcW w:type="dxa" w:w="5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sz w:val="20"/>
                <w:szCs w:val="20"/>
              </w:rPr>
              <w:t xml:space="preserve">mijnenergiehuis.be</w:t>
            </w:r>
          </w:p>
        </w:tc>
      </w:tr>
      <w:tr>
        <w:tc>
          <w:tcPr>
            <w:tcW w:type="dxa" w:w="35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EU Social Climate Fund</w:t>
            </w:r>
          </w:p>
        </w:tc>
        <w:tc>
          <w:tcPr>
            <w:tcW w:type="dxa" w:w="5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vAlign w:val="center"/>
          </w:tcPr>
          <w:p>
            <w:r>
              <w:rPr>
                <w:rFonts w:ascii="Arial" w:cs="Arial" w:eastAsia="Arial" w:hAnsi="Arial"/>
                <w:sz w:val="20"/>
                <w:szCs w:val="20"/>
                <w:shd w:val="clear" w:fill="auto"/>
              </w:rPr>
              <w:t xml:space="preserve">ec.europa.eu/social-climate-fund</w:t>
            </w:r>
          </w:p>
        </w:tc>
      </w:tr>
    </w:tbl>
    <w:p>
      <w:pPr>
        <w:spacing w:after="6"/>
      </w:pPr>
    </w:p>
    <w:p>
      <w:pPr>
        <w:spacing w:after="6"/>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none" w:color="FFFFFF" w:sz="0"/>
              <w:bottom w:val="single" w:color="CCCCCC" w:sz="1"/>
              <w:right w:val="none" w:color="FFFFFF" w:sz="0"/>
            </w:tcBorders>
            <w:tcMar>
              <w:top w:type="dxa" w:w="160"/>
              <w:left w:type="dxa" w:w="200"/>
              <w:bottom w:type="dxa" w:w="160"/>
              <w:right w:type="dxa" w:w="200"/>
            </w:tcMar>
          </w:tcPr>
          <w:p>
            <w:pPr>
              <w:spacing w:after="80"/>
            </w:pPr>
            <w:r>
              <w:rPr>
                <w:rFonts w:ascii="Arial" w:cs="Arial" w:eastAsia="Arial" w:hAnsi="Arial"/>
                <w:b/>
                <w:bCs/>
                <w:i/>
                <w:iCs/>
                <w:color w:val="666666"/>
                <w:sz w:val="18"/>
                <w:szCs w:val="18"/>
              </w:rPr>
              <w:t xml:space="preserve">Disclaimer</w:t>
            </w:r>
          </w:p>
          <w:p>
            <w:r>
              <w:rPr>
                <w:rFonts w:ascii="Arial" w:cs="Arial" w:eastAsia="Arial" w:hAnsi="Arial"/>
                <w:i/>
                <w:iCs/>
                <w:color w:val="666666"/>
                <w:sz w:val="18"/>
                <w:szCs w:val="18"/>
              </w:rPr>
              <w:t xml:space="preserve">Dit document is opgesteld op basis van de beschikbare informatie per maart 2026. Premieregelingen, bedragen en voorwaarden kunnen wijzigen. Raadpleeg steeds de officiële bronnen (vlaanderen.be, premiezoeker.be) voor de meest actuele informatie alvorens beslissingen te nemen. Dit document vormt geen juridisch of financieel advies.</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6"/>
        <w:szCs w:val="16"/>
      </w:rPr>
      <w:t xml:space="preserve">Vertrouwelijk — VME Informatiedossier</w:t>
    </w:r>
    <w:r>
      <w:rPr>
        <w:rFonts w:ascii="Arial" w:cs="Arial" w:eastAsia="Arial" w:hAnsi="Arial"/>
        <w:color w:val="666666"/>
        <w:sz w:val="16"/>
        <w:szCs w:val="16"/>
      </w:rPr>
      <w:t xml:space="preserve">	Pagina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86C1" w:sz="2" w:space="4"/>
      </w:pBdr>
      <w:tabs>
        <w:tab w:val="right" w:pos="9026"/>
      </w:tabs>
      <w:spacing w:after="0"/>
    </w:pPr>
    <w:r>
      <w:rPr>
        <w:rFonts w:ascii="Arial" w:cs="Arial" w:eastAsia="Arial" w:hAnsi="Arial"/>
        <w:i/>
        <w:iCs/>
        <w:color w:val="666666"/>
        <w:sz w:val="16"/>
        <w:szCs w:val="16"/>
      </w:rPr>
      <w:t xml:space="preserve">Informatiedossier Gevelisolatie — Subsidies &amp; Financiering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E86C1" w:sz="4" w:space="4"/>
      </w:pBdr>
      <w:spacing w:before="360" w:after="200"/>
      <w:outlineLvl w:val="0"/>
    </w:pPr>
    <w:rPr>
      <w:rFonts w:ascii="Arial" w:cs="Arial" w:eastAsia="Arial" w:hAnsi="Arial"/>
      <w:b/>
      <w:bCs/>
      <w:color w:val="1B4F72"/>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86C1"/>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1B4F72"/>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2026-03-26T17:57:58.496Z</dcterms:created>
  <dcterms:modified xsi:type="dcterms:W3CDTF">2026-03-26T17:57:58.497Z</dcterms:modified>
</cp:coreProperties>
</file>

<file path=docProps/custom.xml><?xml version="1.0" encoding="utf-8"?>
<Properties xmlns="http://schemas.openxmlformats.org/officeDocument/2006/custom-properties" xmlns:vt="http://schemas.openxmlformats.org/officeDocument/2006/docPropsVTypes"/>
</file>